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AE7" w:rsidRPr="00D14E96" w:rsidRDefault="007F2AE7" w:rsidP="007F2AE7">
      <w:pPr>
        <w:pStyle w:val="Heading2"/>
        <w:keepNext w:val="0"/>
        <w:keepLines w:val="0"/>
        <w:spacing w:after="80"/>
        <w:jc w:val="center"/>
        <w:rPr>
          <w:rFonts w:asciiTheme="minorHAnsi" w:hAnsiTheme="minorHAnsi" w:cstheme="minorHAnsi"/>
          <w:b/>
          <w:sz w:val="22"/>
          <w:szCs w:val="22"/>
          <w:u w:val="single"/>
        </w:rPr>
      </w:pPr>
      <w:r w:rsidRPr="00D14E96">
        <w:rPr>
          <w:rFonts w:asciiTheme="minorHAnsi" w:hAnsiTheme="minorHAnsi" w:cstheme="minorHAnsi"/>
          <w:b/>
          <w:sz w:val="22"/>
          <w:szCs w:val="22"/>
          <w:u w:val="single"/>
        </w:rPr>
        <w:t>Statement of Conformance</w:t>
      </w:r>
      <w:r w:rsidR="00B87C34">
        <w:rPr>
          <w:rFonts w:asciiTheme="minorHAnsi" w:hAnsiTheme="minorHAnsi" w:cstheme="minorHAnsi"/>
          <w:b/>
          <w:sz w:val="22"/>
          <w:szCs w:val="22"/>
          <w:u w:val="single"/>
        </w:rPr>
        <w:t xml:space="preserve"> 2024</w:t>
      </w:r>
    </w:p>
    <w:p w:rsidR="007F2AE7" w:rsidRDefault="007F2AE7" w:rsidP="007F2AE7">
      <w:pPr>
        <w:rPr>
          <w:lang w:val="en" w:eastAsia="en-GB"/>
        </w:rPr>
      </w:pPr>
    </w:p>
    <w:p w:rsidR="007F2AE7" w:rsidRDefault="007F2AE7" w:rsidP="007F2AE7">
      <w:pPr>
        <w:jc w:val="both"/>
        <w:rPr>
          <w:rFonts w:asciiTheme="minorHAnsi" w:hAnsiTheme="minorHAnsi" w:cstheme="minorHAnsi"/>
          <w:sz w:val="22"/>
          <w:szCs w:val="22"/>
          <w:lang w:val="en" w:eastAsia="en-GB"/>
        </w:rPr>
      </w:pPr>
      <w:r w:rsidRPr="007F2AE7">
        <w:rPr>
          <w:rFonts w:asciiTheme="minorHAnsi" w:hAnsiTheme="minorHAnsi" w:cstheme="minorHAnsi"/>
          <w:sz w:val="22"/>
          <w:szCs w:val="22"/>
          <w:lang w:val="en" w:eastAsia="en-GB"/>
        </w:rPr>
        <w:t>The owners and directors of Guardforce Security who are responsible and accountable for all company activities globally</w:t>
      </w:r>
      <w:r>
        <w:rPr>
          <w:rFonts w:asciiTheme="minorHAnsi" w:hAnsiTheme="minorHAnsi" w:cstheme="minorHAnsi"/>
          <w:sz w:val="22"/>
          <w:szCs w:val="22"/>
          <w:lang w:val="en" w:eastAsia="en-GB"/>
        </w:rPr>
        <w:t>,</w:t>
      </w:r>
      <w:r w:rsidRPr="007F2AE7">
        <w:rPr>
          <w:rFonts w:asciiTheme="minorHAnsi" w:hAnsiTheme="minorHAnsi" w:cstheme="minorHAnsi"/>
          <w:sz w:val="22"/>
          <w:szCs w:val="22"/>
          <w:lang w:val="en" w:eastAsia="en-GB"/>
        </w:rPr>
        <w:t xml:space="preserve"> endorse this statement of conformance</w:t>
      </w:r>
      <w:r>
        <w:rPr>
          <w:rFonts w:asciiTheme="minorHAnsi" w:hAnsiTheme="minorHAnsi" w:cstheme="minorHAnsi"/>
          <w:sz w:val="22"/>
          <w:szCs w:val="22"/>
          <w:lang w:val="en" w:eastAsia="en-GB"/>
        </w:rPr>
        <w:t xml:space="preserve"> and their and their staff’s obligations and responsibilities to respect all human rights as reflections within the company Security Operations Management System which is inclusive of but not limited to</w:t>
      </w:r>
      <w:r w:rsidR="00B77B09">
        <w:rPr>
          <w:rFonts w:asciiTheme="minorHAnsi" w:hAnsiTheme="minorHAnsi" w:cstheme="minorHAnsi"/>
          <w:sz w:val="22"/>
          <w:szCs w:val="22"/>
          <w:lang w:val="en" w:eastAsia="en-GB"/>
        </w:rPr>
        <w:t>:</w:t>
      </w:r>
    </w:p>
    <w:p w:rsidR="007F2AE7" w:rsidRDefault="007F2AE7" w:rsidP="007F2AE7">
      <w:pPr>
        <w:jc w:val="both"/>
        <w:rPr>
          <w:rFonts w:asciiTheme="minorHAnsi" w:hAnsiTheme="minorHAnsi" w:cstheme="minorHAnsi"/>
          <w:sz w:val="22"/>
          <w:szCs w:val="22"/>
          <w:lang w:val="en" w:eastAsia="en-GB"/>
        </w:rPr>
      </w:pPr>
    </w:p>
    <w:p w:rsidR="007F2AE7" w:rsidRPr="00B77B09" w:rsidRDefault="007F2AE7" w:rsidP="00B77B09">
      <w:pPr>
        <w:pStyle w:val="ListParagraph"/>
        <w:numPr>
          <w:ilvl w:val="0"/>
          <w:numId w:val="5"/>
        </w:numPr>
        <w:jc w:val="both"/>
        <w:rPr>
          <w:rFonts w:asciiTheme="minorHAnsi" w:hAnsiTheme="minorHAnsi" w:cstheme="minorHAnsi"/>
          <w:sz w:val="22"/>
          <w:szCs w:val="22"/>
          <w:lang w:val="en" w:eastAsia="en-GB"/>
        </w:rPr>
      </w:pPr>
      <w:r w:rsidRPr="00B77B09">
        <w:rPr>
          <w:rFonts w:asciiTheme="minorHAnsi" w:hAnsiTheme="minorHAnsi" w:cstheme="minorHAnsi"/>
          <w:sz w:val="22"/>
          <w:szCs w:val="22"/>
          <w:lang w:val="en" w:eastAsia="en-GB"/>
        </w:rPr>
        <w:t xml:space="preserve">International Code of Conduct for </w:t>
      </w:r>
      <w:r w:rsidR="00212AB2">
        <w:rPr>
          <w:rFonts w:asciiTheme="minorHAnsi" w:hAnsiTheme="minorHAnsi" w:cstheme="minorHAnsi"/>
          <w:sz w:val="22"/>
          <w:szCs w:val="22"/>
          <w:lang w:val="en" w:eastAsia="en-GB"/>
        </w:rPr>
        <w:t>P</w:t>
      </w:r>
      <w:r w:rsidRPr="00B77B09">
        <w:rPr>
          <w:rFonts w:asciiTheme="minorHAnsi" w:hAnsiTheme="minorHAnsi" w:cstheme="minorHAnsi"/>
          <w:sz w:val="22"/>
          <w:szCs w:val="22"/>
          <w:lang w:val="en" w:eastAsia="en-GB"/>
        </w:rPr>
        <w:t xml:space="preserve">rivate Security Service Providers (ICoCA) </w:t>
      </w:r>
      <w:hyperlink r:id="rId7" w:history="1">
        <w:r w:rsidRPr="00B77B09">
          <w:rPr>
            <w:rStyle w:val="Hyperlink"/>
            <w:rFonts w:asciiTheme="minorHAnsi" w:hAnsiTheme="minorHAnsi" w:cstheme="minorHAnsi"/>
            <w:sz w:val="22"/>
            <w:szCs w:val="22"/>
            <w:lang w:val="en" w:eastAsia="en-GB"/>
          </w:rPr>
          <w:t>https://icoca.ch/</w:t>
        </w:r>
      </w:hyperlink>
    </w:p>
    <w:p w:rsidR="007F2AE7" w:rsidRDefault="007F2AE7" w:rsidP="007F2AE7">
      <w:pPr>
        <w:jc w:val="both"/>
        <w:rPr>
          <w:rFonts w:asciiTheme="minorHAnsi" w:hAnsiTheme="minorHAnsi" w:cstheme="minorHAnsi"/>
          <w:sz w:val="22"/>
          <w:szCs w:val="22"/>
          <w:lang w:val="en" w:eastAsia="en-GB"/>
        </w:rPr>
      </w:pPr>
    </w:p>
    <w:p w:rsidR="007F2AE7" w:rsidRDefault="007F2AE7" w:rsidP="00B77B09">
      <w:pPr>
        <w:pStyle w:val="ListParagraph"/>
        <w:numPr>
          <w:ilvl w:val="0"/>
          <w:numId w:val="5"/>
        </w:numPr>
        <w:jc w:val="both"/>
        <w:rPr>
          <w:rFonts w:asciiTheme="minorHAnsi" w:hAnsiTheme="minorHAnsi" w:cstheme="minorHAnsi"/>
          <w:sz w:val="22"/>
          <w:szCs w:val="22"/>
          <w:lang w:val="en" w:eastAsia="en-GB"/>
        </w:rPr>
      </w:pPr>
      <w:r w:rsidRPr="00B77B09">
        <w:rPr>
          <w:rFonts w:asciiTheme="minorHAnsi" w:hAnsiTheme="minorHAnsi" w:cstheme="minorHAnsi"/>
          <w:sz w:val="22"/>
          <w:szCs w:val="22"/>
          <w:lang w:val="en" w:eastAsia="en-GB"/>
        </w:rPr>
        <w:t>The Montreux Document</w:t>
      </w:r>
      <w:r w:rsidR="00212AB2">
        <w:rPr>
          <w:rFonts w:asciiTheme="minorHAnsi" w:hAnsiTheme="minorHAnsi" w:cstheme="minorHAnsi"/>
          <w:sz w:val="22"/>
          <w:szCs w:val="22"/>
          <w:lang w:val="en" w:eastAsia="en-GB"/>
        </w:rPr>
        <w:t xml:space="preserve"> on Pertinent International legal Obligations and Good Practices for States related to Operations of Private Military and Security Companies during Armed Conflict.</w:t>
      </w:r>
      <w:r w:rsidRPr="00B77B09">
        <w:rPr>
          <w:rFonts w:asciiTheme="minorHAnsi" w:hAnsiTheme="minorHAnsi" w:cstheme="minorHAnsi"/>
          <w:sz w:val="22"/>
          <w:szCs w:val="22"/>
          <w:lang w:val="en" w:eastAsia="en-GB"/>
        </w:rPr>
        <w:t xml:space="preserve"> </w:t>
      </w:r>
      <w:hyperlink r:id="rId8" w:history="1">
        <w:r w:rsidRPr="00B77B09">
          <w:rPr>
            <w:rStyle w:val="Hyperlink"/>
            <w:rFonts w:asciiTheme="minorHAnsi" w:hAnsiTheme="minorHAnsi" w:cstheme="minorHAnsi"/>
            <w:sz w:val="22"/>
            <w:szCs w:val="22"/>
            <w:lang w:val="en" w:eastAsia="en-GB"/>
          </w:rPr>
          <w:t>https://www.montreuxdocument.org/</w:t>
        </w:r>
      </w:hyperlink>
    </w:p>
    <w:p w:rsidR="00B77B09" w:rsidRPr="00B77B09" w:rsidRDefault="00B77B09" w:rsidP="00B77B09">
      <w:pPr>
        <w:pStyle w:val="ListParagraph"/>
        <w:rPr>
          <w:rFonts w:asciiTheme="minorHAnsi" w:hAnsiTheme="minorHAnsi" w:cstheme="minorHAnsi"/>
          <w:sz w:val="22"/>
          <w:szCs w:val="22"/>
          <w:lang w:val="en" w:eastAsia="en-GB"/>
        </w:rPr>
      </w:pPr>
    </w:p>
    <w:p w:rsidR="00B77B09" w:rsidRPr="00B77B09" w:rsidRDefault="00B77B09" w:rsidP="00B77B09">
      <w:pPr>
        <w:pStyle w:val="ListParagraph"/>
        <w:numPr>
          <w:ilvl w:val="0"/>
          <w:numId w:val="5"/>
        </w:num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Human Rights Act 1998 </w:t>
      </w:r>
      <w:hyperlink r:id="rId9" w:history="1">
        <w:r w:rsidRPr="001D40AA">
          <w:rPr>
            <w:rStyle w:val="Hyperlink"/>
            <w:rFonts w:asciiTheme="minorHAnsi" w:hAnsiTheme="minorHAnsi" w:cstheme="minorHAnsi"/>
            <w:sz w:val="22"/>
            <w:szCs w:val="22"/>
            <w:lang w:val="en" w:eastAsia="en-GB"/>
          </w:rPr>
          <w:t>https://www.legislation.gov.uk/ukpga/1998/42/contents</w:t>
        </w:r>
      </w:hyperlink>
    </w:p>
    <w:p w:rsidR="00B77B09" w:rsidRDefault="00B77B09" w:rsidP="007F2AE7">
      <w:pPr>
        <w:jc w:val="both"/>
        <w:rPr>
          <w:rFonts w:asciiTheme="minorHAnsi" w:hAnsiTheme="minorHAnsi" w:cstheme="minorHAnsi"/>
          <w:sz w:val="22"/>
          <w:szCs w:val="22"/>
          <w:lang w:val="en" w:eastAsia="en-GB"/>
        </w:rPr>
      </w:pPr>
    </w:p>
    <w:p w:rsidR="00B77B09" w:rsidRPr="00B77B09" w:rsidRDefault="00B77B09" w:rsidP="00B77B09">
      <w:pPr>
        <w:pStyle w:val="ListParagraph"/>
        <w:numPr>
          <w:ilvl w:val="0"/>
          <w:numId w:val="5"/>
        </w:numPr>
        <w:jc w:val="both"/>
        <w:rPr>
          <w:rFonts w:asciiTheme="minorHAnsi" w:hAnsiTheme="minorHAnsi" w:cstheme="minorHAnsi"/>
          <w:sz w:val="22"/>
          <w:szCs w:val="22"/>
          <w:lang w:val="en" w:eastAsia="en-GB"/>
        </w:rPr>
      </w:pPr>
      <w:r w:rsidRPr="00B77B09">
        <w:rPr>
          <w:rFonts w:asciiTheme="minorHAnsi" w:hAnsiTheme="minorHAnsi" w:cstheme="minorHAnsi"/>
          <w:sz w:val="22"/>
          <w:szCs w:val="22"/>
          <w:lang w:val="en" w:eastAsia="en-GB"/>
        </w:rPr>
        <w:t xml:space="preserve">Guiding </w:t>
      </w:r>
      <w:r>
        <w:rPr>
          <w:rFonts w:asciiTheme="minorHAnsi" w:hAnsiTheme="minorHAnsi" w:cstheme="minorHAnsi"/>
          <w:sz w:val="22"/>
          <w:szCs w:val="22"/>
          <w:lang w:val="en" w:eastAsia="en-GB"/>
        </w:rPr>
        <w:t>P</w:t>
      </w:r>
      <w:r w:rsidRPr="00B77B09">
        <w:rPr>
          <w:rFonts w:asciiTheme="minorHAnsi" w:hAnsiTheme="minorHAnsi" w:cstheme="minorHAnsi"/>
          <w:sz w:val="22"/>
          <w:szCs w:val="22"/>
          <w:lang w:val="en" w:eastAsia="en-GB"/>
        </w:rPr>
        <w:t>rinciples of Business and Human Rights</w:t>
      </w:r>
      <w:r w:rsidR="00212AB2">
        <w:rPr>
          <w:rFonts w:asciiTheme="minorHAnsi" w:hAnsiTheme="minorHAnsi" w:cstheme="minorHAnsi"/>
          <w:sz w:val="22"/>
          <w:szCs w:val="22"/>
          <w:lang w:val="en" w:eastAsia="en-GB"/>
        </w:rPr>
        <w:t>, Implementing the United Nations ‘Protect, Respect and Remedy’ framework 2011.</w:t>
      </w:r>
    </w:p>
    <w:p w:rsidR="00B77B09" w:rsidRDefault="00D12999" w:rsidP="00B77B09">
      <w:pPr>
        <w:ind w:left="709"/>
        <w:jc w:val="both"/>
        <w:rPr>
          <w:rFonts w:asciiTheme="minorHAnsi" w:hAnsiTheme="minorHAnsi" w:cstheme="minorHAnsi"/>
          <w:sz w:val="22"/>
          <w:szCs w:val="22"/>
          <w:lang w:val="en" w:eastAsia="en-GB"/>
        </w:rPr>
      </w:pPr>
      <w:hyperlink r:id="rId10" w:history="1">
        <w:r w:rsidR="00B77B09" w:rsidRPr="001D40AA">
          <w:rPr>
            <w:rStyle w:val="Hyperlink"/>
            <w:rFonts w:asciiTheme="minorHAnsi" w:hAnsiTheme="minorHAnsi" w:cstheme="minorHAnsi"/>
            <w:sz w:val="22"/>
            <w:szCs w:val="22"/>
            <w:lang w:val="en" w:eastAsia="en-GB"/>
          </w:rPr>
          <w:t>https://www.ohchr.org/sites/default/files/documents/publications/guidingprinciplesbusinesshr_en.pdf</w:t>
        </w:r>
      </w:hyperlink>
    </w:p>
    <w:p w:rsidR="00B77B09" w:rsidRDefault="00B77B09" w:rsidP="007F2AE7">
      <w:pPr>
        <w:jc w:val="both"/>
        <w:rPr>
          <w:rFonts w:asciiTheme="minorHAnsi" w:hAnsiTheme="minorHAnsi" w:cstheme="minorHAnsi"/>
          <w:sz w:val="22"/>
          <w:szCs w:val="22"/>
          <w:lang w:val="en" w:eastAsia="en-GB"/>
        </w:rPr>
      </w:pPr>
    </w:p>
    <w:p w:rsidR="00B77B09" w:rsidRPr="00B77B09" w:rsidRDefault="00B77B09" w:rsidP="00B77B09">
      <w:pPr>
        <w:pStyle w:val="ListParagraph"/>
        <w:numPr>
          <w:ilvl w:val="0"/>
          <w:numId w:val="5"/>
        </w:num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 xml:space="preserve">All other applicable international </w:t>
      </w:r>
      <w:proofErr w:type="spellStart"/>
      <w:r>
        <w:rPr>
          <w:rFonts w:asciiTheme="minorHAnsi" w:hAnsiTheme="minorHAnsi" w:cstheme="minorHAnsi"/>
          <w:sz w:val="22"/>
          <w:szCs w:val="22"/>
          <w:lang w:val="en" w:eastAsia="en-GB"/>
        </w:rPr>
        <w:t>recognised</w:t>
      </w:r>
      <w:proofErr w:type="spellEnd"/>
      <w:r>
        <w:rPr>
          <w:rFonts w:asciiTheme="minorHAnsi" w:hAnsiTheme="minorHAnsi" w:cstheme="minorHAnsi"/>
          <w:sz w:val="22"/>
          <w:szCs w:val="22"/>
          <w:lang w:val="en" w:eastAsia="en-GB"/>
        </w:rPr>
        <w:t xml:space="preserve"> Human Rights commitments.</w:t>
      </w:r>
    </w:p>
    <w:p w:rsidR="007F2AE7" w:rsidRDefault="007F2AE7" w:rsidP="007F2AE7">
      <w:pPr>
        <w:jc w:val="both"/>
        <w:rPr>
          <w:rFonts w:asciiTheme="minorHAnsi" w:hAnsiTheme="minorHAnsi" w:cstheme="minorHAnsi"/>
          <w:sz w:val="22"/>
          <w:szCs w:val="22"/>
          <w:lang w:val="en" w:eastAsia="en-GB"/>
        </w:rPr>
      </w:pPr>
    </w:p>
    <w:p w:rsidR="00B77B09" w:rsidRDefault="00B77B09" w:rsidP="007F2AE7">
      <w:pPr>
        <w:jc w:val="both"/>
        <w:rPr>
          <w:rFonts w:asciiTheme="minorHAnsi" w:hAnsiTheme="minorHAnsi" w:cstheme="minorHAnsi"/>
          <w:sz w:val="22"/>
          <w:szCs w:val="22"/>
          <w:lang w:val="en" w:eastAsia="en-GB"/>
        </w:rPr>
      </w:pPr>
      <w:r>
        <w:rPr>
          <w:rFonts w:asciiTheme="minorHAnsi" w:hAnsiTheme="minorHAnsi" w:cstheme="minorHAnsi"/>
          <w:sz w:val="22"/>
          <w:szCs w:val="22"/>
          <w:lang w:val="en" w:eastAsia="en-GB"/>
        </w:rPr>
        <w:t>Given the company’s</w:t>
      </w:r>
      <w:r w:rsidR="001F4113">
        <w:rPr>
          <w:rFonts w:asciiTheme="minorHAnsi" w:hAnsiTheme="minorHAnsi" w:cstheme="minorHAnsi"/>
          <w:sz w:val="22"/>
          <w:szCs w:val="22"/>
          <w:lang w:val="en" w:eastAsia="en-GB"/>
        </w:rPr>
        <w:t xml:space="preserve"> </w:t>
      </w:r>
      <w:proofErr w:type="spellStart"/>
      <w:r w:rsidR="001F4113">
        <w:rPr>
          <w:rFonts w:asciiTheme="minorHAnsi" w:hAnsiTheme="minorHAnsi" w:cstheme="minorHAnsi"/>
          <w:sz w:val="22"/>
          <w:szCs w:val="22"/>
          <w:lang w:val="en" w:eastAsia="en-GB"/>
        </w:rPr>
        <w:t>commutments</w:t>
      </w:r>
      <w:proofErr w:type="spellEnd"/>
      <w:r>
        <w:rPr>
          <w:rFonts w:asciiTheme="minorHAnsi" w:hAnsiTheme="minorHAnsi" w:cstheme="minorHAnsi"/>
          <w:sz w:val="22"/>
          <w:szCs w:val="22"/>
          <w:lang w:val="en" w:eastAsia="en-GB"/>
        </w:rPr>
        <w:t xml:space="preserve"> as listed</w:t>
      </w:r>
      <w:r w:rsidR="001F4113">
        <w:rPr>
          <w:rFonts w:asciiTheme="minorHAnsi" w:hAnsiTheme="minorHAnsi" w:cstheme="minorHAnsi"/>
          <w:sz w:val="22"/>
          <w:szCs w:val="22"/>
          <w:lang w:val="en" w:eastAsia="en-GB"/>
        </w:rPr>
        <w:t>,</w:t>
      </w:r>
      <w:r>
        <w:rPr>
          <w:rFonts w:asciiTheme="minorHAnsi" w:hAnsiTheme="minorHAnsi" w:cstheme="minorHAnsi"/>
          <w:sz w:val="22"/>
          <w:szCs w:val="22"/>
          <w:lang w:val="en" w:eastAsia="en-GB"/>
        </w:rPr>
        <w:t xml:space="preserve"> there is an expectation from the business owners that all staff and suppliers, stakeholders and interested parties commit to the same </w:t>
      </w:r>
      <w:r w:rsidR="00D14E96">
        <w:rPr>
          <w:rFonts w:asciiTheme="minorHAnsi" w:hAnsiTheme="minorHAnsi" w:cstheme="minorHAnsi"/>
          <w:sz w:val="22"/>
          <w:szCs w:val="22"/>
          <w:lang w:val="en" w:eastAsia="en-GB"/>
        </w:rPr>
        <w:t xml:space="preserve">governing principles regarding Human Rights. </w:t>
      </w:r>
      <w:r>
        <w:rPr>
          <w:rFonts w:asciiTheme="minorHAnsi" w:hAnsiTheme="minorHAnsi" w:cstheme="minorHAnsi"/>
          <w:sz w:val="22"/>
          <w:szCs w:val="22"/>
          <w:lang w:val="en" w:eastAsia="en-GB"/>
        </w:rPr>
        <w:t xml:space="preserve"> </w:t>
      </w:r>
    </w:p>
    <w:p w:rsidR="00D14E96" w:rsidRDefault="00D14E96" w:rsidP="007F2AE7">
      <w:pPr>
        <w:jc w:val="both"/>
        <w:rPr>
          <w:rFonts w:asciiTheme="minorHAnsi" w:hAnsiTheme="minorHAnsi" w:cstheme="minorHAnsi"/>
          <w:sz w:val="22"/>
          <w:szCs w:val="22"/>
          <w:lang w:val="en" w:eastAsia="en-GB"/>
        </w:rPr>
      </w:pPr>
    </w:p>
    <w:p w:rsidR="00D14E96" w:rsidRPr="00B87C34" w:rsidRDefault="00D14E96" w:rsidP="00D14E96">
      <w:pPr>
        <w:jc w:val="center"/>
        <w:rPr>
          <w:rFonts w:asciiTheme="minorHAnsi" w:hAnsiTheme="minorHAnsi" w:cstheme="minorHAnsi"/>
          <w:b/>
          <w:sz w:val="22"/>
          <w:szCs w:val="22"/>
          <w:lang w:val="en" w:eastAsia="en-GB"/>
        </w:rPr>
      </w:pPr>
      <w:r w:rsidRPr="00B87C34">
        <w:rPr>
          <w:rFonts w:asciiTheme="minorHAnsi" w:hAnsiTheme="minorHAnsi" w:cstheme="minorHAnsi"/>
          <w:b/>
          <w:sz w:val="22"/>
          <w:szCs w:val="22"/>
          <w:lang w:val="en" w:eastAsia="en-GB"/>
        </w:rPr>
        <w:t>Guardforce Security Human Rights Policy Statement</w:t>
      </w:r>
    </w:p>
    <w:p w:rsidR="00D14E96" w:rsidRPr="00B87C34" w:rsidRDefault="00D14E96" w:rsidP="007F2AE7">
      <w:pPr>
        <w:jc w:val="both"/>
        <w:rPr>
          <w:rFonts w:asciiTheme="minorHAnsi" w:hAnsiTheme="minorHAnsi" w:cstheme="minorHAnsi"/>
          <w:sz w:val="22"/>
          <w:szCs w:val="22"/>
          <w:lang w:val="en" w:eastAsia="en-GB"/>
        </w:rPr>
      </w:pPr>
    </w:p>
    <w:p w:rsidR="00D14E96" w:rsidRPr="00B87C34" w:rsidRDefault="00D14E96" w:rsidP="00D14E96">
      <w:pPr>
        <w:ind w:left="-5" w:right="9"/>
        <w:jc w:val="both"/>
        <w:rPr>
          <w:rFonts w:asciiTheme="minorHAnsi" w:hAnsiTheme="minorHAnsi" w:cstheme="minorHAnsi"/>
          <w:sz w:val="22"/>
          <w:szCs w:val="22"/>
        </w:rPr>
      </w:pPr>
      <w:r w:rsidRPr="00B87C34">
        <w:rPr>
          <w:rFonts w:asciiTheme="minorHAnsi" w:hAnsiTheme="minorHAnsi" w:cstheme="minorHAnsi"/>
          <w:sz w:val="22"/>
          <w:szCs w:val="22"/>
        </w:rPr>
        <w:t>The purpose of the Policy is to communicate to the Guardforce employees, staff, contractors, subcontractors, suppliers and community where the company operates, the ethical and social values the company respect and seek to uphold throughout its business decisions, activities, and partnerships.</w:t>
      </w:r>
    </w:p>
    <w:p w:rsidR="00D14E96" w:rsidRPr="00B87C34" w:rsidRDefault="00D14E96" w:rsidP="00D14E96">
      <w:pPr>
        <w:ind w:left="-5" w:right="9"/>
        <w:jc w:val="both"/>
        <w:rPr>
          <w:rFonts w:asciiTheme="minorHAnsi" w:hAnsiTheme="minorHAnsi" w:cstheme="minorHAnsi"/>
          <w:sz w:val="22"/>
          <w:szCs w:val="22"/>
        </w:rPr>
      </w:pPr>
    </w:p>
    <w:p w:rsidR="00D14E96" w:rsidRPr="00B87C34" w:rsidRDefault="00D14E96" w:rsidP="00D14E96">
      <w:pPr>
        <w:ind w:left="-5" w:right="91"/>
        <w:jc w:val="both"/>
        <w:rPr>
          <w:rFonts w:asciiTheme="minorHAnsi" w:hAnsiTheme="minorHAnsi" w:cstheme="minorHAnsi"/>
          <w:sz w:val="22"/>
          <w:szCs w:val="22"/>
        </w:rPr>
      </w:pPr>
      <w:r w:rsidRPr="00B87C34">
        <w:rPr>
          <w:rFonts w:asciiTheme="minorHAnsi" w:hAnsiTheme="minorHAnsi" w:cstheme="minorHAnsi"/>
          <w:sz w:val="22"/>
          <w:szCs w:val="22"/>
        </w:rPr>
        <w:t xml:space="preserve">The Policy outlines the commitment of Guardforce Security to respecting human rights and values of Integrity, Respect, Colleagueship and Ownership, as reflected in Guardforce documents and which are the unifying force for all departments. Upholding international recognised laws and frameworks and all relevant national laws where Guardforce operates. </w:t>
      </w:r>
    </w:p>
    <w:p w:rsidR="00D14E96" w:rsidRPr="00B87C34" w:rsidRDefault="00D14E96" w:rsidP="00D14E96">
      <w:pPr>
        <w:ind w:left="-5" w:right="91"/>
        <w:jc w:val="both"/>
        <w:rPr>
          <w:rFonts w:asciiTheme="minorHAnsi" w:hAnsiTheme="minorHAnsi" w:cstheme="minorHAnsi"/>
          <w:sz w:val="22"/>
          <w:szCs w:val="22"/>
        </w:rPr>
      </w:pPr>
    </w:p>
    <w:p w:rsidR="00D14E96" w:rsidRPr="00B87C34" w:rsidRDefault="00D14E96" w:rsidP="00D14E96">
      <w:pPr>
        <w:spacing w:after="154"/>
        <w:jc w:val="both"/>
        <w:rPr>
          <w:rFonts w:asciiTheme="minorHAnsi" w:hAnsiTheme="minorHAnsi" w:cstheme="minorHAnsi"/>
          <w:sz w:val="22"/>
          <w:szCs w:val="22"/>
        </w:rPr>
      </w:pPr>
      <w:r w:rsidRPr="00B87C34">
        <w:rPr>
          <w:rFonts w:asciiTheme="minorHAnsi" w:hAnsiTheme="minorHAnsi" w:cstheme="minorHAnsi"/>
          <w:sz w:val="22"/>
          <w:szCs w:val="22"/>
        </w:rPr>
        <w:t>Guardforce Security will at all times</w:t>
      </w:r>
      <w:r w:rsidR="00B87C34">
        <w:rPr>
          <w:rFonts w:asciiTheme="minorHAnsi" w:hAnsiTheme="minorHAnsi" w:cstheme="minorHAnsi"/>
          <w:sz w:val="22"/>
          <w:szCs w:val="22"/>
        </w:rPr>
        <w:t xml:space="preserve"> </w:t>
      </w:r>
      <w:r w:rsidRPr="00B87C34">
        <w:rPr>
          <w:rFonts w:asciiTheme="minorHAnsi" w:hAnsiTheme="minorHAnsi" w:cstheme="minorHAnsi"/>
          <w:sz w:val="22"/>
          <w:szCs w:val="22"/>
        </w:rPr>
        <w:t>– from Director level down – ensure that all statutory legislation relating to Human Rights are adhered to through both the policies and processes that we write and the staff and managers who implement them.</w:t>
      </w:r>
    </w:p>
    <w:p w:rsidR="00D14E96" w:rsidRPr="00B87C34" w:rsidRDefault="00D14E96" w:rsidP="00D14E96">
      <w:pPr>
        <w:spacing w:after="1" w:line="262" w:lineRule="auto"/>
        <w:ind w:left="-5"/>
        <w:jc w:val="both"/>
        <w:rPr>
          <w:rFonts w:asciiTheme="minorHAnsi" w:hAnsiTheme="minorHAnsi" w:cstheme="minorHAnsi"/>
          <w:b/>
          <w:sz w:val="22"/>
          <w:szCs w:val="22"/>
        </w:rPr>
      </w:pPr>
      <w:r w:rsidRPr="00B87C34">
        <w:rPr>
          <w:rFonts w:asciiTheme="minorHAnsi" w:hAnsiTheme="minorHAnsi" w:cstheme="minorHAnsi"/>
          <w:b/>
          <w:sz w:val="22"/>
          <w:szCs w:val="22"/>
        </w:rPr>
        <w:t>What Are Human Rights?</w:t>
      </w:r>
    </w:p>
    <w:p w:rsidR="00D14E96" w:rsidRPr="00B87C34" w:rsidRDefault="00D14E96" w:rsidP="00D14E96">
      <w:pPr>
        <w:spacing w:after="1" w:line="262" w:lineRule="auto"/>
        <w:ind w:left="-5"/>
        <w:jc w:val="both"/>
        <w:rPr>
          <w:rFonts w:asciiTheme="minorHAnsi" w:hAnsiTheme="minorHAnsi" w:cstheme="minorHAnsi"/>
          <w:sz w:val="22"/>
          <w:szCs w:val="22"/>
        </w:rPr>
      </w:pPr>
    </w:p>
    <w:p w:rsidR="00D14E96" w:rsidRPr="00B87C34" w:rsidRDefault="00D14E96" w:rsidP="00D14E96">
      <w:pPr>
        <w:ind w:left="-5" w:right="9"/>
        <w:jc w:val="both"/>
        <w:rPr>
          <w:rFonts w:asciiTheme="minorHAnsi" w:hAnsiTheme="minorHAnsi" w:cstheme="minorHAnsi"/>
          <w:sz w:val="22"/>
          <w:szCs w:val="22"/>
        </w:rPr>
      </w:pPr>
      <w:r w:rsidRPr="00B87C34">
        <w:rPr>
          <w:rFonts w:asciiTheme="minorHAnsi" w:hAnsiTheme="minorHAnsi" w:cstheme="minorHAnsi"/>
          <w:sz w:val="22"/>
          <w:szCs w:val="22"/>
        </w:rPr>
        <w:t xml:space="preserve">Human rights are the basic rights and freedoms that belong to every person in the world. They are based on shared values like dignity, fairness, equality, respect, and independence. In many countries where we operate, these values are defined and protected by law. In some countries, however, this is not the case. Where national law and international human rights standards differ, Guardforce Security </w:t>
      </w:r>
      <w:r w:rsidRPr="00B87C34">
        <w:rPr>
          <w:rFonts w:asciiTheme="minorHAnsi" w:hAnsiTheme="minorHAnsi" w:cstheme="minorHAnsi"/>
          <w:sz w:val="22"/>
          <w:szCs w:val="22"/>
        </w:rPr>
        <w:lastRenderedPageBreak/>
        <w:t xml:space="preserve">will follow the higher standard. Where they are in conflict Guardforce Security will adhere to national law, whilst seeking ways to respect international human rights to the greatest extent possible. </w:t>
      </w:r>
    </w:p>
    <w:p w:rsidR="00D14E96" w:rsidRPr="00B87C34" w:rsidRDefault="00D14E96" w:rsidP="00D14E96">
      <w:pPr>
        <w:spacing w:after="154"/>
        <w:rPr>
          <w:rFonts w:asciiTheme="minorHAnsi" w:hAnsiTheme="minorHAnsi" w:cstheme="minorHAnsi"/>
          <w:sz w:val="22"/>
          <w:szCs w:val="22"/>
        </w:rPr>
      </w:pPr>
    </w:p>
    <w:p w:rsidR="00D14E96" w:rsidRPr="00B87C34" w:rsidRDefault="00D14E96" w:rsidP="00D14E96">
      <w:pPr>
        <w:keepNext/>
        <w:keepLines/>
        <w:spacing w:after="250" w:line="250" w:lineRule="auto"/>
        <w:ind w:left="-5" w:hanging="10"/>
        <w:outlineLvl w:val="0"/>
        <w:rPr>
          <w:rFonts w:asciiTheme="minorHAnsi" w:eastAsia="Calibri" w:hAnsiTheme="minorHAnsi" w:cstheme="minorHAnsi"/>
          <w:b/>
          <w:sz w:val="22"/>
          <w:szCs w:val="22"/>
          <w:lang w:eastAsia="en-GB"/>
        </w:rPr>
      </w:pPr>
      <w:r w:rsidRPr="00B87C34">
        <w:rPr>
          <w:rFonts w:asciiTheme="minorHAnsi" w:eastAsia="Calibri" w:hAnsiTheme="minorHAnsi" w:cstheme="minorHAnsi"/>
          <w:b/>
          <w:sz w:val="22"/>
          <w:szCs w:val="22"/>
          <w:lang w:eastAsia="en-GB"/>
        </w:rPr>
        <w:t>Commitments and Principles: Statement</w:t>
      </w:r>
    </w:p>
    <w:p w:rsidR="00D14E96" w:rsidRPr="00B87C34" w:rsidRDefault="00D14E96" w:rsidP="00D14E96">
      <w:pPr>
        <w:ind w:left="-5" w:right="9"/>
        <w:jc w:val="both"/>
        <w:rPr>
          <w:rFonts w:asciiTheme="minorHAnsi" w:hAnsiTheme="minorHAnsi" w:cstheme="minorHAnsi"/>
          <w:sz w:val="22"/>
          <w:szCs w:val="22"/>
        </w:rPr>
      </w:pPr>
      <w:r w:rsidRPr="00B87C34">
        <w:rPr>
          <w:rFonts w:asciiTheme="minorHAnsi" w:hAnsiTheme="minorHAnsi" w:cstheme="minorHAnsi"/>
          <w:sz w:val="22"/>
          <w:szCs w:val="22"/>
        </w:rPr>
        <w:t xml:space="preserve">In line with the United Nations Guiding Principles on Business and Human Rights Guardforce Security are committed to the United Nations Universal Declaration of Human Rights, the International Labour Organisation’s (ILO) core labour standards and the ILO’s Declaration on the Fundamental Principles and Rights at Work. </w:t>
      </w:r>
    </w:p>
    <w:p w:rsidR="00D14E96" w:rsidRPr="00B87C34" w:rsidRDefault="00D14E96" w:rsidP="00D14E96">
      <w:pPr>
        <w:ind w:left="-5" w:right="9"/>
        <w:jc w:val="both"/>
        <w:rPr>
          <w:rFonts w:asciiTheme="minorHAnsi" w:hAnsiTheme="minorHAnsi" w:cstheme="minorHAnsi"/>
          <w:sz w:val="22"/>
          <w:szCs w:val="22"/>
        </w:rPr>
      </w:pPr>
    </w:p>
    <w:p w:rsidR="00D14E96" w:rsidRPr="00B87C34" w:rsidRDefault="00D14E96" w:rsidP="00D14E96">
      <w:pPr>
        <w:ind w:left="-5" w:right="9"/>
        <w:jc w:val="both"/>
        <w:rPr>
          <w:rFonts w:asciiTheme="minorHAnsi" w:hAnsiTheme="minorHAnsi" w:cstheme="minorHAnsi"/>
          <w:sz w:val="22"/>
          <w:szCs w:val="22"/>
        </w:rPr>
      </w:pPr>
      <w:r w:rsidRPr="00B87C34">
        <w:rPr>
          <w:rFonts w:asciiTheme="minorHAnsi" w:hAnsiTheme="minorHAnsi" w:cstheme="minorHAnsi"/>
          <w:sz w:val="22"/>
          <w:szCs w:val="22"/>
        </w:rPr>
        <w:t>Guardforce Security commits to performing its business to the given standards of ethics in accordance with company values and the laws where the company operate.</w:t>
      </w:r>
    </w:p>
    <w:p w:rsidR="00D14E96" w:rsidRPr="00B87C34" w:rsidRDefault="00D14E96" w:rsidP="00D14E96">
      <w:pPr>
        <w:ind w:left="-5" w:right="9"/>
        <w:jc w:val="both"/>
        <w:rPr>
          <w:rFonts w:asciiTheme="minorHAnsi" w:hAnsiTheme="minorHAnsi" w:cstheme="minorHAnsi"/>
          <w:sz w:val="22"/>
          <w:szCs w:val="22"/>
        </w:rPr>
      </w:pPr>
    </w:p>
    <w:p w:rsidR="00D14E96" w:rsidRPr="00B87C34" w:rsidRDefault="00D14E96" w:rsidP="00D14E96">
      <w:pPr>
        <w:numPr>
          <w:ilvl w:val="0"/>
          <w:numId w:val="6"/>
        </w:numPr>
        <w:ind w:right="9"/>
        <w:contextualSpacing/>
        <w:jc w:val="both"/>
        <w:rPr>
          <w:rFonts w:asciiTheme="minorHAnsi" w:hAnsiTheme="minorHAnsi" w:cstheme="minorHAnsi"/>
          <w:sz w:val="22"/>
          <w:szCs w:val="22"/>
        </w:rPr>
      </w:pPr>
      <w:r w:rsidRPr="00B87C34">
        <w:rPr>
          <w:rFonts w:asciiTheme="minorHAnsi" w:hAnsiTheme="minorHAnsi" w:cstheme="minorHAnsi"/>
          <w:sz w:val="22"/>
          <w:szCs w:val="22"/>
        </w:rPr>
        <w:t>Be open and fair in dialogue with all our stakeholders and commit to communicating effectively with external parties, ensuring there is trusted and accessible consultation mechanisms available.</w:t>
      </w:r>
    </w:p>
    <w:p w:rsidR="00D14E96" w:rsidRPr="00B87C34" w:rsidRDefault="00D14E96" w:rsidP="00D14E96">
      <w:pPr>
        <w:numPr>
          <w:ilvl w:val="0"/>
          <w:numId w:val="6"/>
        </w:numPr>
        <w:ind w:right="9"/>
        <w:contextualSpacing/>
        <w:jc w:val="both"/>
        <w:rPr>
          <w:rFonts w:asciiTheme="minorHAnsi" w:hAnsiTheme="minorHAnsi" w:cstheme="minorHAnsi"/>
          <w:sz w:val="22"/>
          <w:szCs w:val="22"/>
        </w:rPr>
      </w:pPr>
      <w:r w:rsidRPr="00B87C34">
        <w:rPr>
          <w:rFonts w:asciiTheme="minorHAnsi" w:hAnsiTheme="minorHAnsi" w:cstheme="minorHAnsi"/>
          <w:sz w:val="22"/>
          <w:szCs w:val="22"/>
        </w:rPr>
        <w:t>Work to address key issues relevant to our sector, business activity and supply chains including: modern slavery and exploitative labour practices, child labour, all forms of discrimination, fair wages, working hours and conditions, health, and safety, right to freedom of association.</w:t>
      </w:r>
    </w:p>
    <w:p w:rsidR="00D14E96" w:rsidRPr="00B87C34" w:rsidRDefault="00D14E96" w:rsidP="00D14E96">
      <w:pPr>
        <w:numPr>
          <w:ilvl w:val="0"/>
          <w:numId w:val="6"/>
        </w:numPr>
        <w:spacing w:after="154"/>
        <w:contextualSpacing/>
        <w:jc w:val="both"/>
        <w:rPr>
          <w:rFonts w:asciiTheme="minorHAnsi" w:hAnsiTheme="minorHAnsi" w:cstheme="minorHAnsi"/>
          <w:sz w:val="22"/>
          <w:szCs w:val="22"/>
        </w:rPr>
      </w:pPr>
      <w:r w:rsidRPr="00B87C34">
        <w:rPr>
          <w:rFonts w:asciiTheme="minorHAnsi" w:hAnsiTheme="minorHAnsi" w:cstheme="minorHAnsi"/>
          <w:sz w:val="22"/>
          <w:szCs w:val="22"/>
        </w:rPr>
        <w:t>Continue to develop company due diligence processes to provide more insight to help identify risks and ensure the company understands best approaches to preventing and mitigating risks to people.</w:t>
      </w:r>
    </w:p>
    <w:p w:rsidR="00D14E96" w:rsidRPr="00B87C34" w:rsidRDefault="00D14E96" w:rsidP="00D14E96">
      <w:pPr>
        <w:numPr>
          <w:ilvl w:val="0"/>
          <w:numId w:val="6"/>
        </w:numPr>
        <w:ind w:right="9"/>
        <w:contextualSpacing/>
        <w:jc w:val="both"/>
        <w:rPr>
          <w:rFonts w:asciiTheme="minorHAnsi" w:hAnsiTheme="minorHAnsi" w:cstheme="minorHAnsi"/>
          <w:sz w:val="22"/>
          <w:szCs w:val="22"/>
        </w:rPr>
      </w:pPr>
      <w:r w:rsidRPr="00B87C34">
        <w:rPr>
          <w:rFonts w:asciiTheme="minorHAnsi" w:hAnsiTheme="minorHAnsi" w:cstheme="minorHAnsi"/>
          <w:sz w:val="22"/>
          <w:szCs w:val="22"/>
        </w:rPr>
        <w:t xml:space="preserve">Not tolerate, nor condone abuse of human rights within any part of the business or supply chains, and will take any allegations of abuse seriously. As part of this the company will work to ensure effective provision of remedy wherever human rights occur through company-based grievance mechanisms. </w:t>
      </w:r>
    </w:p>
    <w:p w:rsidR="00D14E96" w:rsidRPr="00B87C34" w:rsidRDefault="00D14E96" w:rsidP="007F2AE7">
      <w:pPr>
        <w:jc w:val="both"/>
        <w:rPr>
          <w:rFonts w:asciiTheme="minorHAnsi" w:hAnsiTheme="minorHAnsi" w:cstheme="minorHAnsi"/>
          <w:sz w:val="22"/>
          <w:szCs w:val="22"/>
          <w:lang w:eastAsia="en-GB"/>
        </w:rPr>
      </w:pPr>
    </w:p>
    <w:p w:rsidR="00D14E96" w:rsidRPr="00B87C34" w:rsidRDefault="00D14E96" w:rsidP="007F2AE7">
      <w:pPr>
        <w:jc w:val="both"/>
        <w:rPr>
          <w:rFonts w:asciiTheme="minorHAnsi" w:hAnsiTheme="minorHAnsi" w:cstheme="minorHAnsi"/>
          <w:b/>
          <w:sz w:val="22"/>
          <w:szCs w:val="22"/>
          <w:lang w:val="en" w:eastAsia="en-GB"/>
        </w:rPr>
      </w:pPr>
      <w:r w:rsidRPr="00B87C34">
        <w:rPr>
          <w:rFonts w:asciiTheme="minorHAnsi" w:hAnsiTheme="minorHAnsi" w:cstheme="minorHAnsi"/>
          <w:b/>
          <w:sz w:val="22"/>
          <w:szCs w:val="22"/>
          <w:lang w:val="en" w:eastAsia="en-GB"/>
        </w:rPr>
        <w:t>Raising Concerns</w:t>
      </w:r>
    </w:p>
    <w:p w:rsidR="00D14E96" w:rsidRPr="00B87C34" w:rsidRDefault="00D14E96" w:rsidP="007F2AE7">
      <w:pPr>
        <w:jc w:val="both"/>
        <w:rPr>
          <w:rFonts w:asciiTheme="minorHAnsi" w:hAnsiTheme="minorHAnsi" w:cstheme="minorHAnsi"/>
          <w:b/>
          <w:sz w:val="22"/>
          <w:szCs w:val="22"/>
          <w:lang w:val="en" w:eastAsia="en-GB"/>
        </w:rPr>
      </w:pPr>
    </w:p>
    <w:p w:rsidR="00D14E96" w:rsidRDefault="00D14E96" w:rsidP="007F2AE7">
      <w:pPr>
        <w:jc w:val="both"/>
        <w:rPr>
          <w:rFonts w:asciiTheme="minorHAnsi" w:hAnsiTheme="minorHAnsi" w:cstheme="minorHAnsi"/>
          <w:sz w:val="22"/>
          <w:szCs w:val="22"/>
          <w:lang w:val="en" w:eastAsia="en-GB"/>
        </w:rPr>
      </w:pPr>
      <w:r w:rsidRPr="00B87C34">
        <w:rPr>
          <w:rFonts w:asciiTheme="minorHAnsi" w:hAnsiTheme="minorHAnsi" w:cstheme="minorHAnsi"/>
          <w:sz w:val="22"/>
          <w:szCs w:val="22"/>
          <w:lang w:val="en" w:eastAsia="en-GB"/>
        </w:rPr>
        <w:t xml:space="preserve">If any stakeholders </w:t>
      </w:r>
      <w:r w:rsidR="00B87C34" w:rsidRPr="00B87C34">
        <w:rPr>
          <w:rFonts w:asciiTheme="minorHAnsi" w:hAnsiTheme="minorHAnsi" w:cstheme="minorHAnsi"/>
          <w:sz w:val="22"/>
          <w:szCs w:val="22"/>
          <w:lang w:val="en" w:eastAsia="en-GB"/>
        </w:rPr>
        <w:t>identify</w:t>
      </w:r>
      <w:r w:rsidRPr="00B87C34">
        <w:rPr>
          <w:rFonts w:asciiTheme="minorHAnsi" w:hAnsiTheme="minorHAnsi" w:cstheme="minorHAnsi"/>
          <w:sz w:val="22"/>
          <w:szCs w:val="22"/>
          <w:lang w:val="en" w:eastAsia="en-GB"/>
        </w:rPr>
        <w:t xml:space="preserve"> an issue with either company practice or that of a supplier or </w:t>
      </w:r>
      <w:r w:rsidR="00B87C34" w:rsidRPr="00B87C34">
        <w:rPr>
          <w:rFonts w:asciiTheme="minorHAnsi" w:hAnsiTheme="minorHAnsi" w:cstheme="minorHAnsi"/>
          <w:sz w:val="22"/>
          <w:szCs w:val="22"/>
          <w:lang w:val="en" w:eastAsia="en-GB"/>
        </w:rPr>
        <w:t>interested</w:t>
      </w:r>
      <w:r w:rsidRPr="00B87C34">
        <w:rPr>
          <w:rFonts w:asciiTheme="minorHAnsi" w:hAnsiTheme="minorHAnsi" w:cstheme="minorHAnsi"/>
          <w:sz w:val="22"/>
          <w:szCs w:val="22"/>
          <w:lang w:val="en" w:eastAsia="en-GB"/>
        </w:rPr>
        <w:t xml:space="preserve"> party, these concerns can be raised directly with the company </w:t>
      </w:r>
      <w:r w:rsidR="00B87C34" w:rsidRPr="00B87C34">
        <w:rPr>
          <w:rFonts w:asciiTheme="minorHAnsi" w:hAnsiTheme="minorHAnsi" w:cstheme="minorHAnsi"/>
          <w:sz w:val="22"/>
          <w:szCs w:val="22"/>
          <w:lang w:val="en" w:eastAsia="en-GB"/>
        </w:rPr>
        <w:t>ensuring</w:t>
      </w:r>
      <w:r w:rsidRPr="00B87C34">
        <w:rPr>
          <w:rFonts w:asciiTheme="minorHAnsi" w:hAnsiTheme="minorHAnsi" w:cstheme="minorHAnsi"/>
          <w:sz w:val="22"/>
          <w:szCs w:val="22"/>
          <w:lang w:val="en" w:eastAsia="en-GB"/>
        </w:rPr>
        <w:t xml:space="preserve"> all contact is </w:t>
      </w:r>
      <w:r w:rsidR="00B87C34" w:rsidRPr="00B87C34">
        <w:rPr>
          <w:rFonts w:asciiTheme="minorHAnsi" w:hAnsiTheme="minorHAnsi" w:cstheme="minorHAnsi"/>
          <w:sz w:val="22"/>
          <w:szCs w:val="22"/>
          <w:lang w:val="en" w:eastAsia="en-GB"/>
        </w:rPr>
        <w:t>confidential</w:t>
      </w:r>
      <w:r w:rsidRPr="00B87C34">
        <w:rPr>
          <w:rFonts w:asciiTheme="minorHAnsi" w:hAnsiTheme="minorHAnsi" w:cstheme="minorHAnsi"/>
          <w:sz w:val="22"/>
          <w:szCs w:val="22"/>
          <w:lang w:val="en" w:eastAsia="en-GB"/>
        </w:rPr>
        <w:t xml:space="preserve"> at all times. On the company website there is a </w:t>
      </w:r>
      <w:r w:rsidR="00B87C34">
        <w:rPr>
          <w:rFonts w:asciiTheme="minorHAnsi" w:hAnsiTheme="minorHAnsi" w:cstheme="minorHAnsi"/>
          <w:sz w:val="22"/>
          <w:szCs w:val="22"/>
          <w:lang w:val="en" w:eastAsia="en-GB"/>
        </w:rPr>
        <w:t>C</w:t>
      </w:r>
      <w:r w:rsidRPr="00B87C34">
        <w:rPr>
          <w:rFonts w:asciiTheme="minorHAnsi" w:hAnsiTheme="minorHAnsi" w:cstheme="minorHAnsi"/>
          <w:sz w:val="22"/>
          <w:szCs w:val="22"/>
          <w:lang w:val="en" w:eastAsia="en-GB"/>
        </w:rPr>
        <w:t>omplain</w:t>
      </w:r>
      <w:r w:rsidR="00B87C34">
        <w:rPr>
          <w:rFonts w:asciiTheme="minorHAnsi" w:hAnsiTheme="minorHAnsi" w:cstheme="minorHAnsi"/>
          <w:sz w:val="22"/>
          <w:szCs w:val="22"/>
          <w:lang w:val="en" w:eastAsia="en-GB"/>
        </w:rPr>
        <w:t>t</w:t>
      </w:r>
      <w:r w:rsidRPr="00B87C34">
        <w:rPr>
          <w:rFonts w:asciiTheme="minorHAnsi" w:hAnsiTheme="minorHAnsi" w:cstheme="minorHAnsi"/>
          <w:sz w:val="22"/>
          <w:szCs w:val="22"/>
          <w:lang w:val="en" w:eastAsia="en-GB"/>
        </w:rPr>
        <w:t xml:space="preserve">s </w:t>
      </w:r>
      <w:r w:rsidR="00B87C34">
        <w:rPr>
          <w:rFonts w:asciiTheme="minorHAnsi" w:hAnsiTheme="minorHAnsi" w:cstheme="minorHAnsi"/>
          <w:sz w:val="22"/>
          <w:szCs w:val="22"/>
          <w:lang w:val="en" w:eastAsia="en-GB"/>
        </w:rPr>
        <w:t>P</w:t>
      </w:r>
      <w:r w:rsidR="00B87C34" w:rsidRPr="00B87C34">
        <w:rPr>
          <w:rFonts w:asciiTheme="minorHAnsi" w:hAnsiTheme="minorHAnsi" w:cstheme="minorHAnsi"/>
          <w:sz w:val="22"/>
          <w:szCs w:val="22"/>
          <w:lang w:val="en" w:eastAsia="en-GB"/>
        </w:rPr>
        <w:t>rocess which explains the pathway needed to be taken</w:t>
      </w:r>
      <w:r w:rsidR="00B87C34">
        <w:rPr>
          <w:rFonts w:asciiTheme="minorHAnsi" w:hAnsiTheme="minorHAnsi" w:cstheme="minorHAnsi"/>
          <w:sz w:val="22"/>
          <w:szCs w:val="22"/>
          <w:lang w:val="en" w:eastAsia="en-GB"/>
        </w:rPr>
        <w:t>, if a staff member this can done under the Whistle Blower Pilocy which maintains the same complete confidentiality.</w:t>
      </w:r>
    </w:p>
    <w:p w:rsidR="00B87C34" w:rsidRDefault="00B87C34" w:rsidP="007F2AE7">
      <w:pPr>
        <w:jc w:val="both"/>
        <w:rPr>
          <w:rFonts w:asciiTheme="minorHAnsi" w:hAnsiTheme="minorHAnsi" w:cstheme="minorHAnsi"/>
          <w:sz w:val="22"/>
          <w:szCs w:val="22"/>
          <w:lang w:val="en" w:eastAsia="en-GB"/>
        </w:rPr>
      </w:pPr>
    </w:p>
    <w:p w:rsidR="00B87C34" w:rsidRDefault="00B87C34" w:rsidP="007F2AE7">
      <w:pPr>
        <w:jc w:val="both"/>
        <w:rPr>
          <w:rFonts w:asciiTheme="minorHAnsi" w:hAnsiTheme="minorHAnsi" w:cstheme="minorHAnsi"/>
          <w:sz w:val="22"/>
          <w:szCs w:val="22"/>
          <w:lang w:val="en" w:eastAsia="en-GB"/>
        </w:rPr>
      </w:pPr>
    </w:p>
    <w:p w:rsidR="00B87C34" w:rsidRDefault="00B87C34" w:rsidP="007F2AE7">
      <w:pPr>
        <w:jc w:val="both"/>
        <w:rPr>
          <w:rFonts w:asciiTheme="minorHAnsi" w:hAnsiTheme="minorHAnsi" w:cstheme="minorHAnsi"/>
          <w:sz w:val="22"/>
          <w:szCs w:val="22"/>
          <w:lang w:val="en" w:eastAsia="en-GB"/>
        </w:rPr>
      </w:pPr>
    </w:p>
    <w:p w:rsidR="00B87C34" w:rsidRDefault="00B87C34" w:rsidP="007F2AE7">
      <w:pPr>
        <w:jc w:val="both"/>
        <w:rPr>
          <w:rFonts w:asciiTheme="minorHAnsi" w:hAnsiTheme="minorHAnsi" w:cstheme="minorHAnsi"/>
          <w:sz w:val="22"/>
          <w:szCs w:val="22"/>
          <w:lang w:val="en" w:eastAsia="en-GB"/>
        </w:rPr>
      </w:pPr>
    </w:p>
    <w:p w:rsidR="00B87C34" w:rsidRDefault="00B87C34" w:rsidP="007F2AE7">
      <w:pPr>
        <w:jc w:val="both"/>
        <w:rPr>
          <w:rFonts w:asciiTheme="minorHAnsi" w:hAnsiTheme="minorHAnsi" w:cstheme="minorHAnsi"/>
          <w:sz w:val="22"/>
          <w:szCs w:val="22"/>
          <w:lang w:val="en" w:eastAsia="en-GB"/>
        </w:rPr>
      </w:pPr>
    </w:p>
    <w:p w:rsidR="00B87C34" w:rsidRDefault="00B87C34" w:rsidP="007F2AE7">
      <w:pPr>
        <w:jc w:val="both"/>
        <w:rPr>
          <w:rFonts w:asciiTheme="minorHAnsi" w:hAnsiTheme="minorHAnsi" w:cstheme="minorHAnsi"/>
          <w:sz w:val="22"/>
          <w:szCs w:val="22"/>
          <w:lang w:val="en" w:eastAsia="en-GB"/>
        </w:rPr>
      </w:pPr>
    </w:p>
    <w:p w:rsidR="00B87C34" w:rsidRDefault="00D12999" w:rsidP="007F2AE7">
      <w:pPr>
        <w:jc w:val="both"/>
        <w:rPr>
          <w:rFonts w:asciiTheme="minorHAnsi" w:hAnsiTheme="minorHAnsi" w:cstheme="minorHAnsi"/>
          <w:sz w:val="22"/>
          <w:szCs w:val="22"/>
          <w:lang w:val="en" w:eastAsia="en-GB"/>
        </w:rPr>
      </w:pPr>
      <w:r>
        <w:rPr>
          <w:noProof/>
        </w:rPr>
        <w:drawing>
          <wp:anchor distT="0" distB="0" distL="114300" distR="114300" simplePos="0" relativeHeight="251663360" behindDoc="0" locked="0" layoutInCell="1" allowOverlap="0" wp14:anchorId="5B19E59E" wp14:editId="0B8AD457">
            <wp:simplePos x="0" y="0"/>
            <wp:positionH relativeFrom="page">
              <wp:posOffset>876300</wp:posOffset>
            </wp:positionH>
            <wp:positionV relativeFrom="page">
              <wp:posOffset>8782050</wp:posOffset>
            </wp:positionV>
            <wp:extent cx="920589" cy="378034"/>
            <wp:effectExtent l="0" t="0" r="0" b="0"/>
            <wp:wrapTopAndBottom/>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11"/>
                    <a:stretch>
                      <a:fillRect/>
                    </a:stretch>
                  </pic:blipFill>
                  <pic:spPr>
                    <a:xfrm>
                      <a:off x="0" y="0"/>
                      <a:ext cx="920589" cy="378034"/>
                    </a:xfrm>
                    <a:prstGeom prst="rect">
                      <a:avLst/>
                    </a:prstGeom>
                  </pic:spPr>
                </pic:pic>
              </a:graphicData>
            </a:graphic>
          </wp:anchor>
        </w:drawing>
      </w:r>
      <w:r>
        <w:rPr>
          <w:noProof/>
        </w:rPr>
        <w:drawing>
          <wp:anchor distT="0" distB="0" distL="114300" distR="114300" simplePos="0" relativeHeight="251661312" behindDoc="0" locked="0" layoutInCell="1" allowOverlap="0" wp14:anchorId="24F37AA0" wp14:editId="2BB416C1">
            <wp:simplePos x="0" y="0"/>
            <wp:positionH relativeFrom="margin">
              <wp:align>right</wp:align>
            </wp:positionH>
            <wp:positionV relativeFrom="page">
              <wp:posOffset>8726170</wp:posOffset>
            </wp:positionV>
            <wp:extent cx="1329062" cy="634120"/>
            <wp:effectExtent l="0" t="0" r="4445" b="0"/>
            <wp:wrapTopAndBottom/>
            <wp:docPr id="2293" name="Picture 2293"/>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2"/>
                    <a:stretch>
                      <a:fillRect/>
                    </a:stretch>
                  </pic:blipFill>
                  <pic:spPr>
                    <a:xfrm>
                      <a:off x="0" y="0"/>
                      <a:ext cx="1329062" cy="634120"/>
                    </a:xfrm>
                    <a:prstGeom prst="rect">
                      <a:avLst/>
                    </a:prstGeom>
                  </pic:spPr>
                </pic:pic>
              </a:graphicData>
            </a:graphic>
          </wp:anchor>
        </w:drawing>
      </w:r>
      <w:r>
        <w:rPr>
          <w:noProof/>
        </w:rPr>
        <w:drawing>
          <wp:anchor distT="0" distB="0" distL="114300" distR="114300" simplePos="0" relativeHeight="251659264" behindDoc="0" locked="0" layoutInCell="1" allowOverlap="0" wp14:anchorId="78022AEE" wp14:editId="0635DBA9">
            <wp:simplePos x="0" y="0"/>
            <wp:positionH relativeFrom="page">
              <wp:posOffset>3019425</wp:posOffset>
            </wp:positionH>
            <wp:positionV relativeFrom="page">
              <wp:posOffset>8688070</wp:posOffset>
            </wp:positionV>
            <wp:extent cx="1636941" cy="588389"/>
            <wp:effectExtent l="0" t="0" r="0" b="0"/>
            <wp:wrapTopAndBottom/>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13"/>
                    <a:stretch>
                      <a:fillRect/>
                    </a:stretch>
                  </pic:blipFill>
                  <pic:spPr>
                    <a:xfrm>
                      <a:off x="0" y="0"/>
                      <a:ext cx="1636941" cy="588389"/>
                    </a:xfrm>
                    <a:prstGeom prst="rect">
                      <a:avLst/>
                    </a:prstGeom>
                  </pic:spPr>
                </pic:pic>
              </a:graphicData>
            </a:graphic>
          </wp:anchor>
        </w:drawing>
      </w:r>
      <w:r w:rsidR="008520C3">
        <w:rPr>
          <w:rFonts w:asciiTheme="minorHAnsi" w:hAnsiTheme="minorHAnsi" w:cstheme="minorHAnsi"/>
          <w:sz w:val="22"/>
          <w:szCs w:val="22"/>
          <w:lang w:val="en" w:eastAsia="en-GB"/>
        </w:rPr>
        <w:t xml:space="preserve">Warren Jones </w:t>
      </w:r>
      <w:r w:rsidR="008520C3">
        <w:rPr>
          <w:rFonts w:asciiTheme="minorHAnsi" w:hAnsiTheme="minorHAnsi" w:cstheme="minorHAnsi"/>
          <w:sz w:val="22"/>
          <w:szCs w:val="22"/>
          <w:lang w:val="en" w:eastAsia="en-GB"/>
        </w:rPr>
        <w:tab/>
      </w:r>
      <w:r w:rsidR="008520C3">
        <w:rPr>
          <w:rFonts w:asciiTheme="minorHAnsi" w:hAnsiTheme="minorHAnsi" w:cstheme="minorHAnsi"/>
          <w:sz w:val="22"/>
          <w:szCs w:val="22"/>
          <w:lang w:val="en" w:eastAsia="en-GB"/>
        </w:rPr>
        <w:tab/>
      </w:r>
      <w:r w:rsidR="008520C3">
        <w:rPr>
          <w:rFonts w:asciiTheme="minorHAnsi" w:hAnsiTheme="minorHAnsi" w:cstheme="minorHAnsi"/>
          <w:sz w:val="22"/>
          <w:szCs w:val="22"/>
          <w:lang w:val="en" w:eastAsia="en-GB"/>
        </w:rPr>
        <w:tab/>
      </w:r>
      <w:r w:rsidR="008520C3">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Russell Sampayo</w:t>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t xml:space="preserve">    Kevin Myers</w:t>
      </w:r>
      <w:r w:rsidR="00B87C34" w:rsidRPr="00B87C34">
        <w:rPr>
          <w:rFonts w:asciiTheme="minorHAnsi" w:hAnsiTheme="minorHAnsi" w:cstheme="minorHAnsi"/>
          <w:sz w:val="22"/>
          <w:szCs w:val="22"/>
          <w:lang w:val="en" w:eastAsia="en-GB"/>
        </w:rPr>
        <w:t xml:space="preserve"> </w:t>
      </w:r>
      <w:r w:rsidR="00B87C34">
        <w:rPr>
          <w:rFonts w:asciiTheme="minorHAnsi" w:hAnsiTheme="minorHAnsi" w:cstheme="minorHAnsi"/>
          <w:sz w:val="22"/>
          <w:szCs w:val="22"/>
          <w:lang w:val="en" w:eastAsia="en-GB"/>
        </w:rPr>
        <w:t xml:space="preserve">                                                        </w:t>
      </w:r>
    </w:p>
    <w:p w:rsidR="00B87C34" w:rsidRDefault="00B87C34" w:rsidP="007F2AE7">
      <w:pPr>
        <w:jc w:val="both"/>
        <w:rPr>
          <w:rFonts w:asciiTheme="minorHAnsi" w:hAnsiTheme="minorHAnsi" w:cstheme="minorHAnsi"/>
          <w:sz w:val="22"/>
          <w:szCs w:val="22"/>
          <w:lang w:val="en" w:eastAsia="en-GB"/>
        </w:rPr>
      </w:pPr>
    </w:p>
    <w:p w:rsidR="00B87C34" w:rsidRPr="00B87C34" w:rsidRDefault="008520C3" w:rsidP="00D12999">
      <w:pPr>
        <w:jc w:val="right"/>
        <w:rPr>
          <w:rFonts w:asciiTheme="minorHAnsi" w:hAnsiTheme="minorHAnsi" w:cstheme="minorHAnsi"/>
          <w:sz w:val="22"/>
          <w:szCs w:val="22"/>
          <w:lang w:val="en" w:eastAsia="en-GB"/>
        </w:rPr>
      </w:pP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r>
      <w:r w:rsidR="00B87C34">
        <w:rPr>
          <w:rFonts w:asciiTheme="minorHAnsi" w:hAnsiTheme="minorHAnsi" w:cstheme="minorHAnsi"/>
          <w:sz w:val="22"/>
          <w:szCs w:val="22"/>
          <w:lang w:val="en" w:eastAsia="en-GB"/>
        </w:rPr>
        <w:tab/>
        <w:t xml:space="preserve">              </w:t>
      </w:r>
      <w:bookmarkStart w:id="0" w:name="_GoBack"/>
      <w:bookmarkEnd w:id="0"/>
    </w:p>
    <w:sectPr w:rsidR="00B87C34" w:rsidRPr="00B87C3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68" w:rsidRDefault="00093068" w:rsidP="00093068">
      <w:r>
        <w:separator/>
      </w:r>
    </w:p>
  </w:endnote>
  <w:endnote w:type="continuationSeparator" w:id="0">
    <w:p w:rsidR="00093068" w:rsidRDefault="00093068" w:rsidP="0009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C34" w:rsidRPr="00B87C34" w:rsidRDefault="00B87C34">
    <w:pPr>
      <w:pStyle w:val="Footer"/>
      <w:rPr>
        <w:rFonts w:asciiTheme="minorHAnsi" w:hAnsiTheme="minorHAnsi" w:cstheme="minorHAnsi"/>
        <w:sz w:val="22"/>
        <w:szCs w:val="22"/>
      </w:rPr>
    </w:pPr>
    <w:r w:rsidRPr="00B87C34">
      <w:rPr>
        <w:rFonts w:asciiTheme="minorHAnsi" w:hAnsiTheme="minorHAnsi" w:cstheme="minorHAnsi"/>
        <w:sz w:val="22"/>
        <w:szCs w:val="22"/>
      </w:rPr>
      <w:t>GFS - HSEQ – FRM – 028</w:t>
    </w:r>
    <w:r w:rsidRPr="00B87C34">
      <w:rPr>
        <w:rFonts w:asciiTheme="minorHAnsi" w:hAnsiTheme="minorHAnsi" w:cstheme="minorHAnsi"/>
        <w:sz w:val="22"/>
        <w:szCs w:val="22"/>
      </w:rPr>
      <w:tab/>
      <w:t>v1</w:t>
    </w:r>
    <w:r w:rsidRPr="00B87C34">
      <w:rPr>
        <w:rFonts w:asciiTheme="minorHAnsi" w:hAnsiTheme="minorHAnsi" w:cstheme="minorHAnsi"/>
        <w:sz w:val="22"/>
        <w:szCs w:val="22"/>
      </w:rPr>
      <w:tab/>
      <w:t>28.12.2023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68" w:rsidRDefault="00093068" w:rsidP="00093068">
      <w:r>
        <w:separator/>
      </w:r>
    </w:p>
  </w:footnote>
  <w:footnote w:type="continuationSeparator" w:id="0">
    <w:p w:rsidR="00093068" w:rsidRDefault="00093068" w:rsidP="0009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068" w:rsidRDefault="00093068" w:rsidP="00093068">
    <w:pPr>
      <w:pStyle w:val="Header"/>
      <w:jc w:val="center"/>
    </w:pPr>
    <w:r>
      <w:rPr>
        <w:noProof/>
        <w:lang w:eastAsia="en-GB"/>
      </w:rPr>
      <w:drawing>
        <wp:inline distT="0" distB="0" distL="0" distR="0" wp14:anchorId="66D7BFC9" wp14:editId="7DE57D0C">
          <wp:extent cx="1447800" cy="723900"/>
          <wp:effectExtent l="0" t="0" r="0" b="0"/>
          <wp:docPr id="1" name="Picture 1" descr="GFS-logo-black-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logo-black-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87D45"/>
    <w:multiLevelType w:val="hybridMultilevel"/>
    <w:tmpl w:val="ACE8E1B0"/>
    <w:lvl w:ilvl="0" w:tplc="08090001">
      <w:start w:val="1"/>
      <w:numFmt w:val="bullet"/>
      <w:lvlText w:val=""/>
      <w:lvlJc w:val="left"/>
      <w:pPr>
        <w:ind w:left="2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40CEA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DA01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0C07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43E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46DB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6424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E4F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1650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260C54"/>
    <w:multiLevelType w:val="hybridMultilevel"/>
    <w:tmpl w:val="DC08C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C45E8"/>
    <w:multiLevelType w:val="hybridMultilevel"/>
    <w:tmpl w:val="2E980036"/>
    <w:lvl w:ilvl="0" w:tplc="9BBAC18E">
      <w:start w:val="1"/>
      <w:numFmt w:val="bullet"/>
      <w:lvlText w:val="•"/>
      <w:lvlJc w:val="left"/>
      <w:pPr>
        <w:ind w:left="720" w:hanging="360"/>
      </w:pPr>
      <w:rPr>
        <w:rFonts w:ascii="Arial" w:eastAsia="Arial" w:hAnsi="Arial" w:cs="Arial" w:hint="default"/>
        <w:b w:val="0"/>
        <w:i w:val="0"/>
        <w:strike w:val="0"/>
        <w:dstrike w:val="0"/>
        <w:color w:val="262626"/>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AD3177"/>
    <w:multiLevelType w:val="hybridMultilevel"/>
    <w:tmpl w:val="1A2C728E"/>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B3CF2"/>
    <w:multiLevelType w:val="hybridMultilevel"/>
    <w:tmpl w:val="7EDC33DA"/>
    <w:lvl w:ilvl="0" w:tplc="0809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D67AD"/>
    <w:multiLevelType w:val="hybridMultilevel"/>
    <w:tmpl w:val="652CB8DA"/>
    <w:lvl w:ilvl="0" w:tplc="C66CB6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EB6486"/>
    <w:multiLevelType w:val="hybridMultilevel"/>
    <w:tmpl w:val="67D0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68"/>
    <w:rsid w:val="0001554C"/>
    <w:rsid w:val="00093068"/>
    <w:rsid w:val="001C546B"/>
    <w:rsid w:val="001F4113"/>
    <w:rsid w:val="00212AB2"/>
    <w:rsid w:val="007F2AE7"/>
    <w:rsid w:val="008520C3"/>
    <w:rsid w:val="008F04C3"/>
    <w:rsid w:val="00B77B09"/>
    <w:rsid w:val="00B87C34"/>
    <w:rsid w:val="00D1201E"/>
    <w:rsid w:val="00D12999"/>
    <w:rsid w:val="00D14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0589"/>
  <w15:chartTrackingRefBased/>
  <w15:docId w15:val="{4B60B19A-0C6E-4EFB-A882-A107FACE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0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93068"/>
    <w:pPr>
      <w:keepNext/>
      <w:keepLines/>
      <w:spacing w:before="360" w:after="120" w:line="276" w:lineRule="auto"/>
      <w:outlineLvl w:val="1"/>
    </w:pPr>
    <w:rPr>
      <w:rFonts w:ascii="Arial" w:eastAsia="Arial" w:hAnsi="Arial" w:cs="Arial"/>
      <w:sz w:val="32"/>
      <w:szCs w:val="3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068"/>
    <w:rPr>
      <w:rFonts w:ascii="Arial" w:eastAsia="Arial" w:hAnsi="Arial" w:cs="Arial"/>
      <w:sz w:val="32"/>
      <w:szCs w:val="32"/>
      <w:lang w:val="en" w:eastAsia="en-GB"/>
    </w:rPr>
  </w:style>
  <w:style w:type="paragraph" w:styleId="ListParagraph">
    <w:name w:val="List Paragraph"/>
    <w:basedOn w:val="Normal"/>
    <w:uiPriority w:val="34"/>
    <w:qFormat/>
    <w:rsid w:val="00093068"/>
    <w:pPr>
      <w:ind w:left="720"/>
      <w:contextualSpacing/>
    </w:pPr>
  </w:style>
  <w:style w:type="paragraph" w:styleId="Header">
    <w:name w:val="header"/>
    <w:basedOn w:val="Normal"/>
    <w:link w:val="HeaderChar"/>
    <w:uiPriority w:val="99"/>
    <w:unhideWhenUsed/>
    <w:rsid w:val="00093068"/>
    <w:pPr>
      <w:tabs>
        <w:tab w:val="center" w:pos="4513"/>
        <w:tab w:val="right" w:pos="9026"/>
      </w:tabs>
    </w:pPr>
  </w:style>
  <w:style w:type="character" w:customStyle="1" w:styleId="HeaderChar">
    <w:name w:val="Header Char"/>
    <w:basedOn w:val="DefaultParagraphFont"/>
    <w:link w:val="Header"/>
    <w:uiPriority w:val="99"/>
    <w:rsid w:val="000930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3068"/>
    <w:pPr>
      <w:tabs>
        <w:tab w:val="center" w:pos="4513"/>
        <w:tab w:val="right" w:pos="9026"/>
      </w:tabs>
    </w:pPr>
  </w:style>
  <w:style w:type="character" w:customStyle="1" w:styleId="FooterChar">
    <w:name w:val="Footer Char"/>
    <w:basedOn w:val="DefaultParagraphFont"/>
    <w:link w:val="Footer"/>
    <w:uiPriority w:val="99"/>
    <w:rsid w:val="000930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AE7"/>
    <w:rPr>
      <w:color w:val="0563C1" w:themeColor="hyperlink"/>
      <w:u w:val="single"/>
    </w:rPr>
  </w:style>
  <w:style w:type="character" w:styleId="UnresolvedMention">
    <w:name w:val="Unresolved Mention"/>
    <w:basedOn w:val="DefaultParagraphFont"/>
    <w:uiPriority w:val="99"/>
    <w:semiHidden/>
    <w:unhideWhenUsed/>
    <w:rsid w:val="007F2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reuxdocument.org/"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icoca.ch/"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hchr.org/sites/default/files/documents/publications/guidingprinciplesbusinesshr_en.pdf" TargetMode="External"/><Relationship Id="rId4" Type="http://schemas.openxmlformats.org/officeDocument/2006/relationships/webSettings" Target="webSettings.xml"/><Relationship Id="rId9" Type="http://schemas.openxmlformats.org/officeDocument/2006/relationships/hyperlink" Target="https://www.legislation.gov.uk/ukpga/1998/42/cont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Hanratty</dc:creator>
  <cp:keywords/>
  <dc:description/>
  <cp:lastModifiedBy>Robert Hanratty</cp:lastModifiedBy>
  <cp:revision>8</cp:revision>
  <cp:lastPrinted>2024-03-07T09:18:00Z</cp:lastPrinted>
  <dcterms:created xsi:type="dcterms:W3CDTF">2023-07-25T15:18:00Z</dcterms:created>
  <dcterms:modified xsi:type="dcterms:W3CDTF">2024-03-23T12:38:00Z</dcterms:modified>
</cp:coreProperties>
</file>